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D948" w14:textId="77777777" w:rsidR="00000000" w:rsidRDefault="00CD4641">
      <w:pPr>
        <w:pStyle w:val="form-e"/>
      </w:pPr>
      <w:r>
        <w:t>Form 55C</w:t>
      </w:r>
    </w:p>
    <w:p w14:paraId="011A8224" w14:textId="77777777" w:rsidR="00000000" w:rsidRDefault="00CD4641">
      <w:pPr>
        <w:pStyle w:val="act-e"/>
      </w:pPr>
      <w:r>
        <w:t>Courts of Justice Act</w:t>
      </w:r>
    </w:p>
    <w:p w14:paraId="70FF5087" w14:textId="77777777" w:rsidR="00000000" w:rsidRDefault="00CD4641">
      <w:pPr>
        <w:pStyle w:val="subject-e"/>
      </w:pPr>
      <w:r>
        <w:t>REPORT on reference (administration of estate)</w:t>
      </w:r>
    </w:p>
    <w:p w14:paraId="0DC146C1" w14:textId="77777777" w:rsidR="00000000" w:rsidRDefault="00CD4641">
      <w:pPr>
        <w:pStyle w:val="zc-i-ul-e"/>
        <w:spacing w:before="240"/>
      </w:pPr>
      <w:r>
        <w:t>(General heading)</w:t>
      </w:r>
    </w:p>
    <w:p w14:paraId="4AC414EF" w14:textId="77777777" w:rsidR="00000000" w:rsidRDefault="00CD4641">
      <w:pPr>
        <w:pStyle w:val="zheadingx-e"/>
        <w:spacing w:after="319"/>
      </w:pPr>
      <w:r>
        <w:t>report on reference</w:t>
      </w:r>
    </w:p>
    <w:p w14:paraId="5F63DEDA" w14:textId="77777777" w:rsidR="00000000" w:rsidRDefault="00CD4641">
      <w:pPr>
        <w:pStyle w:val="zparawtab-e"/>
        <w:spacing w:after="319"/>
      </w:pPr>
      <w:r>
        <w:tab/>
      </w:r>
      <w:r>
        <w:tab/>
        <w:t xml:space="preserve">In accordance with the order directing a reference dated </w:t>
      </w:r>
      <w:r>
        <w:rPr>
          <w:i/>
        </w:rPr>
        <w:t xml:space="preserve">(date), </w:t>
      </w:r>
      <w:r>
        <w:t>I have disposed of the matters referred to me, and I report as follows:</w:t>
      </w:r>
    </w:p>
    <w:p w14:paraId="15693CB8" w14:textId="77777777" w:rsidR="00000000" w:rsidRDefault="00CD4641">
      <w:pPr>
        <w:pStyle w:val="zparawtab-e"/>
        <w:spacing w:after="319"/>
        <w:rPr>
          <w:i/>
        </w:rPr>
      </w:pPr>
      <w:r>
        <w:tab/>
      </w:r>
      <w:r>
        <w:t>1.</w:t>
      </w:r>
      <w:r>
        <w:tab/>
        <w:t>The following parties were served with the order directing a reference and a notice of hearing for directions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Set out names).  (Where applicable, add:</w:t>
      </w:r>
      <w:r>
        <w:t xml:space="preserve">  Service on the following parties was dispensed with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Set out names and the reason for dispensing</w:t>
      </w:r>
      <w:r>
        <w:rPr>
          <w:i/>
        </w:rPr>
        <w:t xml:space="preserve"> with service).)</w:t>
      </w:r>
      <w:r>
        <w:t xml:space="preserve">  The following parties were added on the reference and were served with a notice to party added on reference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Set out names).</w:t>
      </w:r>
    </w:p>
    <w:p w14:paraId="014B2B6D" w14:textId="77777777" w:rsidR="00000000" w:rsidRDefault="00CD4641">
      <w:pPr>
        <w:pStyle w:val="zparawtab-e"/>
        <w:spacing w:after="319"/>
        <w:rPr>
          <w:i/>
        </w:rPr>
      </w:pPr>
      <w:r>
        <w:tab/>
        <w:t>2.</w:t>
      </w:r>
      <w:r>
        <w:tab/>
        <w:t>The following parties did not attend on the reference</w:t>
      </w:r>
      <w:proofErr w:type="gramStart"/>
      <w:r>
        <w:t xml:space="preserve">:  </w:t>
      </w:r>
      <w:r>
        <w:rPr>
          <w:i/>
        </w:rPr>
        <w:t>(</w:t>
      </w:r>
      <w:proofErr w:type="gramEnd"/>
      <w:r>
        <w:rPr>
          <w:i/>
        </w:rPr>
        <w:t>Set out names).</w:t>
      </w:r>
    </w:p>
    <w:p w14:paraId="3BCD9A23" w14:textId="77777777" w:rsidR="00000000" w:rsidRDefault="00CD4641">
      <w:pPr>
        <w:pStyle w:val="zparawtab-e"/>
        <w:tabs>
          <w:tab w:val="left" w:leader="dot" w:pos="2391"/>
          <w:tab w:val="left" w:leader="dot" w:pos="8640"/>
        </w:tabs>
        <w:spacing w:after="319"/>
        <w:rPr>
          <w:i/>
        </w:rPr>
      </w:pPr>
      <w:r>
        <w:tab/>
        <w:t>3.</w:t>
      </w:r>
      <w:r>
        <w:tab/>
        <w:t>The personal estate not specif</w:t>
      </w:r>
      <w:r>
        <w:t>ically bequeathed by the testator received by the executors and for which they are chargeable amounts to $....., and they have paid or are entitled to be allowed the sum of</w:t>
      </w:r>
      <w:r>
        <w:rPr>
          <w:i/>
        </w:rPr>
        <w:t xml:space="preserve"> </w:t>
      </w:r>
      <w:r>
        <w:t>$</w:t>
      </w:r>
      <w:r>
        <w:tab/>
        <w:t xml:space="preserve">, leaving a balance due from </w:t>
      </w:r>
      <w:r>
        <w:rPr>
          <w:i/>
        </w:rPr>
        <w:t>(or</w:t>
      </w:r>
      <w:r>
        <w:t xml:space="preserve"> to</w:t>
      </w:r>
      <w:r>
        <w:rPr>
          <w:i/>
        </w:rPr>
        <w:t xml:space="preserve">) </w:t>
      </w:r>
      <w:r>
        <w:t>them of $</w:t>
      </w:r>
      <w:r>
        <w:tab/>
      </w:r>
      <w:r>
        <w:rPr>
          <w:i/>
        </w:rPr>
        <w:t>(or, where applicable:</w:t>
      </w:r>
      <w:r>
        <w:t xml:space="preserve">  No persona</w:t>
      </w:r>
      <w:r>
        <w:t>l estate has been received by the executors, nor are they chargeable with any.</w:t>
      </w:r>
      <w:r>
        <w:rPr>
          <w:i/>
        </w:rPr>
        <w:t>)</w:t>
      </w:r>
    </w:p>
    <w:p w14:paraId="599F0AA1" w14:textId="77777777" w:rsidR="00000000" w:rsidRDefault="00CD4641">
      <w:pPr>
        <w:pStyle w:val="zparawtab-e"/>
        <w:tabs>
          <w:tab w:val="left" w:leader="dot" w:pos="2391"/>
        </w:tabs>
        <w:spacing w:after="319"/>
        <w:rPr>
          <w:i/>
        </w:rPr>
      </w:pPr>
      <w:r>
        <w:tab/>
        <w:t>4.</w:t>
      </w:r>
      <w:r>
        <w:tab/>
        <w:t>The creditors’ claims received in response to the advertisement for creditors and which I have allowed are set out in Schedule A and amount altogether to $</w:t>
      </w:r>
      <w:r>
        <w:tab/>
      </w:r>
      <w:r>
        <w:rPr>
          <w:i/>
        </w:rPr>
        <w:t>(or, where appli</w:t>
      </w:r>
      <w:r>
        <w:rPr>
          <w:i/>
        </w:rPr>
        <w:t>cable:</w:t>
      </w:r>
      <w:r>
        <w:t xml:space="preserve">  No creditor has sent in a claim in response to the advertisement for creditors, nor has any such claim been proved before me.</w:t>
      </w:r>
      <w:r>
        <w:rPr>
          <w:i/>
        </w:rPr>
        <w:t>)</w:t>
      </w:r>
    </w:p>
    <w:p w14:paraId="4567A698" w14:textId="77777777" w:rsidR="00000000" w:rsidRDefault="00CD4641">
      <w:pPr>
        <w:pStyle w:val="zparawtab-e"/>
        <w:tabs>
          <w:tab w:val="left" w:leader="dot" w:pos="4782"/>
        </w:tabs>
        <w:spacing w:after="319"/>
      </w:pPr>
      <w:r>
        <w:tab/>
        <w:t>5.</w:t>
      </w:r>
      <w:r>
        <w:tab/>
        <w:t>The funeral expenses of the testator amounting to $</w:t>
      </w:r>
      <w:r>
        <w:tab/>
        <w:t xml:space="preserve"> have been paid by the executors and </w:t>
      </w:r>
      <w:proofErr w:type="gramStart"/>
      <w:r>
        <w:t>are allowed to</w:t>
      </w:r>
      <w:proofErr w:type="gramEnd"/>
      <w:r>
        <w:t xml:space="preserve"> them in the a</w:t>
      </w:r>
      <w:r>
        <w:t>ccount of personal estate.</w:t>
      </w:r>
    </w:p>
    <w:p w14:paraId="346EE279" w14:textId="77777777" w:rsidR="00000000" w:rsidRDefault="00CD4641">
      <w:pPr>
        <w:pStyle w:val="zparawtab-e"/>
        <w:spacing w:after="319"/>
        <w:rPr>
          <w:i/>
        </w:rPr>
      </w:pPr>
      <w:r>
        <w:tab/>
        <w:t>6.</w:t>
      </w:r>
      <w:r>
        <w:tab/>
        <w:t xml:space="preserve">The legacies given by the testator are set out in Schedule B, and with the interest therein mentioned, remain due to the persons named </w:t>
      </w:r>
      <w:r>
        <w:rPr>
          <w:i/>
        </w:rPr>
        <w:t>(or as the case may be).</w:t>
      </w:r>
    </w:p>
    <w:p w14:paraId="1CF2F9DA" w14:textId="77777777" w:rsidR="00000000" w:rsidRDefault="00CD4641">
      <w:pPr>
        <w:pStyle w:val="zparawtab-e"/>
        <w:spacing w:after="319"/>
      </w:pPr>
      <w:r>
        <w:tab/>
        <w:t>7.</w:t>
      </w:r>
      <w:r>
        <w:tab/>
        <w:t>The personal estate of the testator outstanding or undisposed</w:t>
      </w:r>
      <w:r>
        <w:t xml:space="preserve"> of is set out in Schedule C.</w:t>
      </w:r>
    </w:p>
    <w:p w14:paraId="3067D505" w14:textId="77777777" w:rsidR="00000000" w:rsidRDefault="00CD4641">
      <w:pPr>
        <w:pStyle w:val="zparawtab-e"/>
        <w:spacing w:after="319"/>
      </w:pPr>
      <w:r>
        <w:tab/>
        <w:t>8.</w:t>
      </w:r>
      <w:r>
        <w:tab/>
        <w:t>The real estate owned by the testator and the encumbrances affecting it are set out in Schedule D.</w:t>
      </w:r>
    </w:p>
    <w:p w14:paraId="1A63FCD5" w14:textId="77777777" w:rsidR="00000000" w:rsidRDefault="00CD4641">
      <w:pPr>
        <w:pStyle w:val="zparawtab-e"/>
        <w:tabs>
          <w:tab w:val="left" w:leader="dot" w:pos="5256"/>
          <w:tab w:val="right" w:leader="dot" w:pos="9360"/>
        </w:tabs>
        <w:spacing w:after="319"/>
        <w:rPr>
          <w:i/>
        </w:rPr>
      </w:pPr>
      <w:r>
        <w:tab/>
        <w:t>9.</w:t>
      </w:r>
      <w:r>
        <w:tab/>
        <w:t xml:space="preserve">The rents and profits of the testator’s real estate received by the executors and for which they are chargeable amount </w:t>
      </w:r>
      <w:r>
        <w:t>to $</w:t>
      </w:r>
      <w:r>
        <w:tab/>
      </w:r>
      <w:r>
        <w:br/>
      </w:r>
      <w:r>
        <w:tab/>
        <w:t>and they have paid or are entitled to be allowed the sum of $</w:t>
      </w:r>
      <w:r>
        <w:tab/>
        <w:t xml:space="preserve">, leaving a balance due from </w:t>
      </w:r>
      <w:r>
        <w:rPr>
          <w:i/>
        </w:rPr>
        <w:t xml:space="preserve">(or </w:t>
      </w:r>
      <w:r>
        <w:t>to</w:t>
      </w:r>
      <w:r>
        <w:rPr>
          <w:i/>
        </w:rPr>
        <w:t>)</w:t>
      </w:r>
      <w:r>
        <w:t xml:space="preserve"> them of $</w:t>
      </w:r>
      <w:r>
        <w:tab/>
      </w:r>
      <w:r>
        <w:br/>
      </w:r>
      <w:r>
        <w:tab/>
        <w:t xml:space="preserve"> </w:t>
      </w:r>
      <w:r>
        <w:rPr>
          <w:i/>
        </w:rPr>
        <w:t xml:space="preserve">(or, where applicable:  </w:t>
      </w:r>
      <w:r>
        <w:t>No rents and profits have been received by the executors, nor are they chargeable with any</w:t>
      </w:r>
      <w:r>
        <w:rPr>
          <w:i/>
        </w:rPr>
        <w:t>).</w:t>
      </w:r>
    </w:p>
    <w:p w14:paraId="08E72CF5" w14:textId="77777777" w:rsidR="00000000" w:rsidRDefault="00CD4641">
      <w:pPr>
        <w:pStyle w:val="zparawtab-e"/>
        <w:tabs>
          <w:tab w:val="left" w:leader="dot" w:pos="4782"/>
        </w:tabs>
        <w:spacing w:after="319"/>
      </w:pPr>
      <w:r>
        <w:tab/>
        <w:t>10.</w:t>
      </w:r>
      <w:r>
        <w:tab/>
        <w:t xml:space="preserve">I have allowed </w:t>
      </w:r>
      <w:r>
        <w:t>the executors the sum of $</w:t>
      </w:r>
      <w:r>
        <w:tab/>
        <w:t xml:space="preserve"> as compensation for their services in the management of the estate.</w:t>
      </w:r>
    </w:p>
    <w:p w14:paraId="27B4619C" w14:textId="77777777" w:rsidR="00000000" w:rsidRDefault="00CD4641">
      <w:pPr>
        <w:pStyle w:val="zparawtab-e"/>
        <w:spacing w:after="319"/>
      </w:pPr>
      <w:r>
        <w:tab/>
        <w:t>11.</w:t>
      </w:r>
      <w:r>
        <w:tab/>
        <w:t xml:space="preserve">I have caused the real estate, other than </w:t>
      </w:r>
      <w:r>
        <w:rPr>
          <w:i/>
        </w:rPr>
        <w:t xml:space="preserve">(identify property), </w:t>
      </w:r>
      <w:r>
        <w:t>which has specifically devised, to be sold and the purchasers have paid their purchase money</w:t>
      </w:r>
      <w:r>
        <w:t xml:space="preserve"> into court.</w:t>
      </w:r>
    </w:p>
    <w:p w14:paraId="4E1176C3" w14:textId="77777777" w:rsidR="00000000" w:rsidRDefault="00CD4641">
      <w:pPr>
        <w:pStyle w:val="zparawtab-e"/>
        <w:spacing w:after="319"/>
      </w:pPr>
      <w:r>
        <w:tab/>
        <w:t>12.</w:t>
      </w:r>
      <w:r>
        <w:tab/>
        <w:t>In Schedule E, I have shown how the money in court is to be dealt with.</w:t>
      </w:r>
    </w:p>
    <w:p w14:paraId="0F05EF8F" w14:textId="77777777" w:rsidR="00000000" w:rsidRDefault="00CD4641">
      <w:pPr>
        <w:pStyle w:val="table-e"/>
        <w:tabs>
          <w:tab w:val="left" w:pos="5760"/>
        </w:tabs>
      </w:pPr>
      <w:r>
        <w:rPr>
          <w:i/>
        </w:rPr>
        <w:t>(Date)</w:t>
      </w:r>
      <w:r>
        <w:rPr>
          <w:i/>
        </w:rPr>
        <w:tab/>
        <w:t>(Signature of referee)</w:t>
      </w:r>
    </w:p>
    <w:p w14:paraId="71C3F6D2" w14:textId="77777777" w:rsidR="00000000" w:rsidRDefault="00CD4641">
      <w:pPr>
        <w:spacing w:line="239" w:lineRule="exact"/>
        <w:rPr>
          <w:snapToGrid w:val="0"/>
        </w:rPr>
      </w:pPr>
    </w:p>
    <w:p w14:paraId="05E0C723" w14:textId="77777777" w:rsidR="00000000" w:rsidRDefault="00CD4641">
      <w:pPr>
        <w:pStyle w:val="zparawtab-e"/>
        <w:spacing w:after="319"/>
        <w:rPr>
          <w:i/>
        </w:rPr>
      </w:pPr>
      <w:r>
        <w:rPr>
          <w:i/>
        </w:rPr>
        <w:tab/>
      </w:r>
      <w:r>
        <w:rPr>
          <w:i/>
        </w:rPr>
        <w:tab/>
        <w:t>(All schedules should be as brief as possible.  Only the general character of the things described should be shown.  Land should be d</w:t>
      </w:r>
      <w:r>
        <w:rPr>
          <w:i/>
        </w:rPr>
        <w:t>escribed without setting out a full legal description.)</w:t>
      </w:r>
    </w:p>
    <w:p w14:paraId="1B442C1C" w14:textId="77777777" w:rsidR="00000000" w:rsidRDefault="00CD4641">
      <w:pPr>
        <w:pStyle w:val="zparawtab-e"/>
        <w:spacing w:after="319"/>
        <w:rPr>
          <w:i/>
        </w:rPr>
      </w:pPr>
      <w:r>
        <w:tab/>
      </w:r>
      <w:r>
        <w:tab/>
      </w:r>
      <w:r>
        <w:rPr>
          <w:i/>
        </w:rPr>
        <w:t>(In Schedule C, the personal estate not specifically bequeathed should be set out separately from the other personal property outstanding or undisposed of.  Where there is no specific bequest, the r</w:t>
      </w:r>
      <w:r>
        <w:rPr>
          <w:i/>
        </w:rPr>
        <w:t>eport should state that fact.)</w:t>
      </w:r>
    </w:p>
    <w:p w14:paraId="215CEFF6" w14:textId="77777777" w:rsidR="00000000" w:rsidRDefault="00CD4641">
      <w:pPr>
        <w:pStyle w:val="footnote-e"/>
      </w:pPr>
      <w:r>
        <w:t>RCP-E 55C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5658" w14:textId="77777777" w:rsidR="00CD4641" w:rsidRDefault="00CD4641" w:rsidP="00CD4641">
      <w:r>
        <w:separator/>
      </w:r>
    </w:p>
  </w:endnote>
  <w:endnote w:type="continuationSeparator" w:id="0">
    <w:p w14:paraId="08831F7F" w14:textId="77777777" w:rsidR="00CD4641" w:rsidRDefault="00CD4641" w:rsidP="00C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4E54" w14:textId="77777777" w:rsidR="00CD4641" w:rsidRDefault="00CD4641" w:rsidP="00CD4641">
      <w:r>
        <w:separator/>
      </w:r>
    </w:p>
  </w:footnote>
  <w:footnote w:type="continuationSeparator" w:id="0">
    <w:p w14:paraId="3C5B8332" w14:textId="77777777" w:rsidR="00CD4641" w:rsidRDefault="00CD4641" w:rsidP="00CD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641"/>
    <w:rsid w:val="00C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C4753"/>
  <w15:chartTrackingRefBased/>
  <w15:docId w15:val="{B1CAF254-E4EE-440B-B061-4712EAC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55C Report on Reference (Administration of Estate)</vt:lpstr>
    </vt:vector>
  </TitlesOfParts>
  <Company>Government of Ontario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55C Report on Reference (Administration of Estate)</dc:title>
  <dc:subject>RCP-E 55C (November 1, 2005)</dc:subject>
  <dc:creator>Civil Rules Committee</dc:creator>
  <cp:keywords/>
  <dc:description/>
  <cp:lastModifiedBy>Schell, Denise (MAG)</cp:lastModifiedBy>
  <cp:revision>2</cp:revision>
  <dcterms:created xsi:type="dcterms:W3CDTF">2021-11-16T21:12:00Z</dcterms:created>
  <dcterms:modified xsi:type="dcterms:W3CDTF">2021-11-16T21:12:00Z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2021-11-16T21:11:47Z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0e662089-daec-4bf3-955f-9fa72816278b</vt:lpwstr>
  </property>
  <property fmtid="{D5CDD505-2E9C-101B-9397-08002B2CF9AE}" pid="8" name="MSIP_Label_034a106e-6316-442c-ad35-738afd673d2b_ContentBits">
    <vt:lpwstr>0</vt:lpwstr>
  </property>
</Properties>
</file>