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DFE0" w14:textId="77777777" w:rsidR="008E1912" w:rsidRPr="007A5234" w:rsidRDefault="004C781E" w:rsidP="002D1365">
      <w:pPr>
        <w:pStyle w:val="Heading1"/>
        <w:spacing w:before="0"/>
        <w:jc w:val="center"/>
        <w:rPr>
          <w:lang w:val="fr-CA"/>
        </w:rPr>
      </w:pPr>
      <w:r w:rsidRPr="007A5234">
        <w:rPr>
          <w:lang w:val="fr-CA"/>
        </w:rPr>
        <w:t>Étiquette de la salle d’audience pour les audiences virtuelles</w:t>
      </w:r>
    </w:p>
    <w:p w14:paraId="1736A558" w14:textId="0B4BC1D7" w:rsidR="002D0709" w:rsidRPr="007A5234" w:rsidRDefault="008E1912" w:rsidP="002D1365">
      <w:pPr>
        <w:pStyle w:val="Heading2"/>
        <w:spacing w:before="0" w:after="40"/>
        <w:ind w:left="-720" w:right="-994"/>
        <w:rPr>
          <w:spacing w:val="-2"/>
          <w:szCs w:val="28"/>
          <w:lang w:val="fr-CA"/>
        </w:rPr>
      </w:pPr>
      <w:r w:rsidRPr="007A5234">
        <w:rPr>
          <w:rFonts w:eastAsiaTheme="minorEastAsia"/>
          <w:spacing w:val="-2"/>
          <w:szCs w:val="28"/>
          <w:lang w:val="fr-CA"/>
        </w:rPr>
        <w:t>Lorsque vous participez à une audience virtuelle tenue par vidéoconférence ou audioconférence</w:t>
      </w:r>
    </w:p>
    <w:tbl>
      <w:tblPr>
        <w:tblStyle w:val="TableGrid"/>
        <w:tblW w:w="1490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7340"/>
      </w:tblGrid>
      <w:tr w:rsidR="002D0709" w:rsidRPr="007A5234" w14:paraId="535B82C3" w14:textId="77777777" w:rsidTr="002D1365">
        <w:tc>
          <w:tcPr>
            <w:tcW w:w="7560" w:type="dxa"/>
          </w:tcPr>
          <w:p w14:paraId="57C69A94" w14:textId="77777777" w:rsidR="008E1912" w:rsidRPr="007A5234" w:rsidRDefault="008E1912" w:rsidP="007A5234">
            <w:pPr>
              <w:pStyle w:val="Heading3"/>
              <w:spacing w:before="0" w:line="240" w:lineRule="auto"/>
              <w:rPr>
                <w:sz w:val="26"/>
                <w:szCs w:val="26"/>
                <w:lang w:val="fr-CA"/>
              </w:rPr>
            </w:pPr>
            <w:r w:rsidRPr="007A5234">
              <w:rPr>
                <w:sz w:val="26"/>
                <w:szCs w:val="26"/>
                <w:lang w:val="fr-CA"/>
              </w:rPr>
              <w:t>Avant l’audience</w:t>
            </w:r>
          </w:p>
          <w:p w14:paraId="0D654D35" w14:textId="77777777" w:rsidR="008E1912" w:rsidRPr="007A5234" w:rsidRDefault="008E1912" w:rsidP="008E1912">
            <w:pPr>
              <w:spacing w:before="60" w:after="60"/>
              <w:rPr>
                <w:sz w:val="23"/>
                <w:szCs w:val="23"/>
                <w:lang w:val="fr-CA"/>
              </w:rPr>
            </w:pPr>
            <w:r w:rsidRPr="007A5234">
              <w:rPr>
                <w:sz w:val="23"/>
                <w:szCs w:val="23"/>
                <w:lang w:val="fr-CA"/>
              </w:rPr>
              <w:t>Cliquez sur le lien fourni pour assister à la réunion par vidéo pour l’essayer et vous assurer que vous pourrez vous connecter sans difficulté. Vérifiez si votre appareil est branché et sous tension.</w:t>
            </w:r>
          </w:p>
          <w:p w14:paraId="024F9198" w14:textId="77777777" w:rsidR="008E1912" w:rsidRPr="007A5234" w:rsidRDefault="008E1912" w:rsidP="008E1912">
            <w:pPr>
              <w:spacing w:before="60" w:after="60"/>
              <w:rPr>
                <w:sz w:val="23"/>
                <w:szCs w:val="23"/>
                <w:lang w:val="fr-CA"/>
              </w:rPr>
            </w:pPr>
            <w:r w:rsidRPr="007A5234">
              <w:rPr>
                <w:sz w:val="23"/>
                <w:szCs w:val="23"/>
                <w:lang w:val="fr-CA"/>
              </w:rPr>
              <w:t>Portez un casque d’écoute ou des écouteurs avec un microphone intégré pour garantir la qualité sonore et réduire l’écho.</w:t>
            </w:r>
          </w:p>
          <w:p w14:paraId="4191358E" w14:textId="77777777" w:rsidR="008E1912" w:rsidRPr="007A5234" w:rsidRDefault="008E1912" w:rsidP="008E1912">
            <w:pPr>
              <w:spacing w:before="60" w:after="60"/>
              <w:rPr>
                <w:sz w:val="23"/>
                <w:szCs w:val="23"/>
                <w:lang w:val="fr-CA"/>
              </w:rPr>
            </w:pPr>
            <w:r w:rsidRPr="007A5234">
              <w:rPr>
                <w:sz w:val="23"/>
                <w:szCs w:val="23"/>
                <w:lang w:val="fr-CA"/>
              </w:rPr>
              <w:t>Assurez-vous d’être suffisamment proche de votre microphone pour que l’on entende clairement votre voix.</w:t>
            </w:r>
          </w:p>
          <w:p w14:paraId="7AC07169" w14:textId="5B28BA17" w:rsidR="008E1912" w:rsidRPr="007A5234" w:rsidRDefault="008E1912" w:rsidP="008E1912">
            <w:pPr>
              <w:spacing w:before="60" w:after="60"/>
              <w:rPr>
                <w:spacing w:val="-4"/>
                <w:sz w:val="23"/>
                <w:szCs w:val="23"/>
                <w:lang w:val="fr-CA"/>
              </w:rPr>
            </w:pPr>
            <w:r w:rsidRPr="007A5234">
              <w:rPr>
                <w:spacing w:val="-4"/>
                <w:sz w:val="23"/>
                <w:szCs w:val="23"/>
                <w:lang w:val="fr-CA"/>
              </w:rPr>
              <w:t>Connectez-vous à la vidéoconférence ou à l’audioconférence 15</w:t>
            </w:r>
            <w:r w:rsidR="002D1365" w:rsidRPr="007A5234">
              <w:rPr>
                <w:spacing w:val="-4"/>
                <w:sz w:val="23"/>
                <w:szCs w:val="23"/>
                <w:lang w:val="fr-CA"/>
              </w:rPr>
              <w:t xml:space="preserve"> </w:t>
            </w:r>
            <w:r w:rsidRPr="007A5234">
              <w:rPr>
                <w:spacing w:val="-4"/>
                <w:sz w:val="23"/>
                <w:szCs w:val="23"/>
                <w:lang w:val="fr-CA"/>
              </w:rPr>
              <w:t>minutes avant l’heure prévue pour vous assurer qu’il n’y a pas de difficultés techniques. Attendez que l’hôte vous admette dans la salle principale.</w:t>
            </w:r>
          </w:p>
          <w:p w14:paraId="43CBBE68" w14:textId="77777777" w:rsidR="008E1912" w:rsidRPr="007A5234" w:rsidRDefault="008E1912" w:rsidP="008E1912">
            <w:pPr>
              <w:spacing w:before="60" w:after="60"/>
              <w:rPr>
                <w:sz w:val="23"/>
                <w:szCs w:val="23"/>
                <w:lang w:val="fr-CA"/>
              </w:rPr>
            </w:pPr>
            <w:r w:rsidRPr="007A5234">
              <w:rPr>
                <w:sz w:val="23"/>
                <w:szCs w:val="23"/>
                <w:lang w:val="fr-CA"/>
              </w:rPr>
              <w:t xml:space="preserve">Participez à la réunion depuis un endroit calme et privé pour éviter les interruptions et les bruits de fond. </w:t>
            </w:r>
          </w:p>
          <w:p w14:paraId="7A547FF5" w14:textId="77777777" w:rsidR="008E1912" w:rsidRPr="007A5234" w:rsidRDefault="008E1912" w:rsidP="008E1912">
            <w:pPr>
              <w:spacing w:before="60" w:after="60"/>
              <w:rPr>
                <w:sz w:val="23"/>
                <w:szCs w:val="23"/>
                <w:lang w:val="fr-CA"/>
              </w:rPr>
            </w:pPr>
            <w:r w:rsidRPr="007A5234">
              <w:rPr>
                <w:sz w:val="23"/>
                <w:szCs w:val="23"/>
                <w:lang w:val="fr-CA"/>
              </w:rPr>
              <w:t xml:space="preserve">N’utilisez pas d’arrière-plans ou de profils inappropriés. </w:t>
            </w:r>
          </w:p>
          <w:p w14:paraId="16BDD497" w14:textId="77777777" w:rsidR="008E1912" w:rsidRPr="007A5234" w:rsidRDefault="008E1912" w:rsidP="008E1912">
            <w:pPr>
              <w:spacing w:before="60" w:after="60"/>
              <w:rPr>
                <w:sz w:val="23"/>
                <w:szCs w:val="23"/>
                <w:lang w:val="fr-CA"/>
              </w:rPr>
            </w:pPr>
            <w:r w:rsidRPr="007A5234">
              <w:rPr>
                <w:sz w:val="23"/>
                <w:szCs w:val="23"/>
                <w:lang w:val="fr-CA"/>
              </w:rPr>
              <w:t xml:space="preserve">Votre nom d’écran doit suivre le format « Nom, Prénom », sauf indication contraire du tribunal. </w:t>
            </w:r>
          </w:p>
          <w:p w14:paraId="0B915EA1" w14:textId="77777777" w:rsidR="008E1912" w:rsidRPr="007A5234" w:rsidRDefault="008E1912" w:rsidP="008E1912">
            <w:pPr>
              <w:spacing w:before="60" w:after="60"/>
              <w:rPr>
                <w:sz w:val="23"/>
                <w:szCs w:val="23"/>
                <w:lang w:val="fr-CA"/>
              </w:rPr>
            </w:pPr>
            <w:r w:rsidRPr="007A5234">
              <w:rPr>
                <w:sz w:val="23"/>
                <w:szCs w:val="23"/>
                <w:lang w:val="fr-CA"/>
              </w:rPr>
              <w:t>Si vous le souhaitez, veuillez préciser votre titre de civilité (M./M</w:t>
            </w:r>
            <w:r w:rsidRPr="007A5234">
              <w:rPr>
                <w:sz w:val="23"/>
                <w:szCs w:val="23"/>
                <w:vertAlign w:val="superscript"/>
                <w:lang w:val="fr-CA"/>
              </w:rPr>
              <w:t>me</w:t>
            </w:r>
            <w:r w:rsidRPr="007A5234">
              <w:rPr>
                <w:sz w:val="23"/>
                <w:szCs w:val="23"/>
                <w:lang w:val="fr-CA"/>
              </w:rPr>
              <w:t>/Mx, etc.) et votre pronom (il, elle, iel, etc.) avant votre nom ou entre parenthèses après votre nom.</w:t>
            </w:r>
          </w:p>
          <w:p w14:paraId="5484939F" w14:textId="5E460C03" w:rsidR="00B930D4" w:rsidRPr="007A5234" w:rsidRDefault="008E1912" w:rsidP="00B930D4">
            <w:pPr>
              <w:spacing w:before="60" w:after="120"/>
              <w:rPr>
                <w:sz w:val="20"/>
                <w:szCs w:val="20"/>
                <w:lang w:val="fr-CA"/>
              </w:rPr>
            </w:pPr>
            <w:r w:rsidRPr="007A5234">
              <w:rPr>
                <w:sz w:val="23"/>
                <w:szCs w:val="23"/>
                <w:lang w:val="fr-CA"/>
              </w:rPr>
              <w:t>Désactivez les notifications sur tous les appareils pour éviter de perturber la procédure.</w:t>
            </w:r>
          </w:p>
        </w:tc>
        <w:tc>
          <w:tcPr>
            <w:tcW w:w="7340" w:type="dxa"/>
          </w:tcPr>
          <w:p w14:paraId="36A83C79" w14:textId="77777777" w:rsidR="008E1912" w:rsidRPr="007A5234" w:rsidRDefault="008E1912" w:rsidP="007A5234">
            <w:pPr>
              <w:pStyle w:val="Heading3"/>
              <w:spacing w:before="0" w:line="240" w:lineRule="auto"/>
              <w:rPr>
                <w:sz w:val="26"/>
                <w:szCs w:val="26"/>
                <w:lang w:val="fr-CA"/>
              </w:rPr>
            </w:pPr>
            <w:r w:rsidRPr="007A5234">
              <w:rPr>
                <w:sz w:val="26"/>
                <w:szCs w:val="26"/>
                <w:lang w:val="fr-CA"/>
              </w:rPr>
              <w:t>Au moment de vous adresser au tribunal</w:t>
            </w:r>
          </w:p>
          <w:p w14:paraId="4EFFEB00" w14:textId="77777777" w:rsidR="008E1912" w:rsidRPr="007A5234" w:rsidRDefault="008E1912" w:rsidP="008E1912">
            <w:pPr>
              <w:spacing w:before="60" w:after="60"/>
              <w:rPr>
                <w:sz w:val="23"/>
                <w:szCs w:val="23"/>
                <w:lang w:val="fr-CA"/>
              </w:rPr>
            </w:pPr>
            <w:r w:rsidRPr="007A5234">
              <w:rPr>
                <w:sz w:val="23"/>
                <w:szCs w:val="23"/>
                <w:lang w:val="fr-CA"/>
              </w:rPr>
              <w:t>Prononcez votre nom et votre prénom pour le procès-verbal avant l’audience et lorsque l’officier de justice qui préside l’audience vous le demande.</w:t>
            </w:r>
          </w:p>
          <w:p w14:paraId="4AE743DA" w14:textId="77777777" w:rsidR="008E1912" w:rsidRPr="007A5234" w:rsidRDefault="008E1912" w:rsidP="008E1912">
            <w:pPr>
              <w:spacing w:before="60" w:after="60"/>
              <w:rPr>
                <w:sz w:val="23"/>
                <w:szCs w:val="23"/>
                <w:lang w:val="fr-CA"/>
              </w:rPr>
            </w:pPr>
            <w:r w:rsidRPr="007A5234">
              <w:rPr>
                <w:sz w:val="23"/>
                <w:szCs w:val="23"/>
                <w:lang w:val="fr-CA"/>
              </w:rPr>
              <w:t xml:space="preserve">Parlez de façon claire et concise lorsque vous vous adressez au tribunal. </w:t>
            </w:r>
          </w:p>
          <w:p w14:paraId="2522EEC5" w14:textId="77777777" w:rsidR="008E1912" w:rsidRPr="007A5234" w:rsidRDefault="008E1912" w:rsidP="00B930D4">
            <w:pPr>
              <w:spacing w:before="60" w:after="120"/>
              <w:rPr>
                <w:sz w:val="23"/>
                <w:szCs w:val="23"/>
                <w:lang w:val="fr-CA"/>
              </w:rPr>
            </w:pPr>
            <w:r w:rsidRPr="007A5234">
              <w:rPr>
                <w:sz w:val="23"/>
                <w:szCs w:val="23"/>
                <w:lang w:val="fr-CA"/>
              </w:rPr>
              <w:t>Ne parlez pas trop vite, ni pendant qu’une autre personne s’exprime. N’interrompez pas.</w:t>
            </w:r>
          </w:p>
          <w:p w14:paraId="0ABAA4F9" w14:textId="77777777" w:rsidR="008E1912" w:rsidRPr="007A5234" w:rsidRDefault="008E1912" w:rsidP="007A5234">
            <w:pPr>
              <w:pStyle w:val="Heading3"/>
              <w:spacing w:before="0" w:line="240" w:lineRule="auto"/>
              <w:rPr>
                <w:sz w:val="26"/>
                <w:szCs w:val="26"/>
                <w:lang w:val="fr-CA"/>
              </w:rPr>
            </w:pPr>
            <w:r w:rsidRPr="007A5234">
              <w:rPr>
                <w:sz w:val="26"/>
                <w:szCs w:val="26"/>
                <w:lang w:val="fr-CA"/>
              </w:rPr>
              <w:t>Lorsque vous ne parlez pas</w:t>
            </w:r>
          </w:p>
          <w:p w14:paraId="4747C963" w14:textId="77777777" w:rsidR="008E1912" w:rsidRPr="007A5234" w:rsidRDefault="008E1912" w:rsidP="008E1912">
            <w:pPr>
              <w:spacing w:before="60" w:after="60"/>
              <w:rPr>
                <w:sz w:val="23"/>
                <w:szCs w:val="23"/>
                <w:lang w:val="fr-CA"/>
              </w:rPr>
            </w:pPr>
            <w:r w:rsidRPr="007A5234">
              <w:rPr>
                <w:sz w:val="23"/>
                <w:szCs w:val="23"/>
                <w:lang w:val="fr-CA"/>
              </w:rPr>
              <w:t>Désactivez le son lorsque vous ne vous adressez pas au tribunal pour éviter toute distorsion audio.</w:t>
            </w:r>
          </w:p>
          <w:p w14:paraId="2805B3C2" w14:textId="77777777" w:rsidR="008E1912" w:rsidRPr="007A5234" w:rsidRDefault="008E1912" w:rsidP="008E1912">
            <w:pPr>
              <w:spacing w:before="60" w:after="60"/>
              <w:rPr>
                <w:sz w:val="23"/>
                <w:szCs w:val="23"/>
                <w:lang w:val="fr-CA"/>
              </w:rPr>
            </w:pPr>
            <w:r w:rsidRPr="007A5234">
              <w:rPr>
                <w:sz w:val="23"/>
                <w:szCs w:val="23"/>
                <w:lang w:val="fr-CA"/>
              </w:rPr>
              <w:t xml:space="preserve">Préparez les documents nécessaires à l’avance. Ne froissez pas des feuilles de papier près du microphone, car cela perturberait la procédure. </w:t>
            </w:r>
          </w:p>
          <w:p w14:paraId="7DCDD651" w14:textId="77777777" w:rsidR="008E1912" w:rsidRPr="007A5234" w:rsidRDefault="008E1912" w:rsidP="008E1912">
            <w:pPr>
              <w:spacing w:before="60" w:after="60"/>
              <w:rPr>
                <w:sz w:val="23"/>
                <w:szCs w:val="23"/>
                <w:lang w:val="fr-CA"/>
              </w:rPr>
            </w:pPr>
            <w:r w:rsidRPr="007A5234">
              <w:rPr>
                <w:sz w:val="23"/>
                <w:szCs w:val="23"/>
                <w:lang w:val="fr-CA"/>
              </w:rPr>
              <w:t xml:space="preserve">Ne mettez pas la ligne de téléconférence en attente, car un fort signal sonore serait émis dans la salle de conférence principale. </w:t>
            </w:r>
          </w:p>
          <w:p w14:paraId="7D201892" w14:textId="74D58F29" w:rsidR="002D0709" w:rsidRPr="007A5234" w:rsidRDefault="008E1912" w:rsidP="002D1365">
            <w:pPr>
              <w:spacing w:before="60" w:after="60"/>
              <w:rPr>
                <w:szCs w:val="24"/>
                <w:lang w:val="fr-CA"/>
              </w:rPr>
            </w:pPr>
            <w:r w:rsidRPr="007A5234">
              <w:rPr>
                <w:sz w:val="23"/>
                <w:szCs w:val="23"/>
                <w:lang w:val="fr-CA"/>
              </w:rPr>
              <w:t>N’utilisez pas le haut-parleur lorsque vous téléphonez, car cela pourrait nuire à la qualité sonore.</w:t>
            </w:r>
          </w:p>
        </w:tc>
      </w:tr>
      <w:tr w:rsidR="007A5234" w:rsidRPr="007A5234" w14:paraId="4DA21705" w14:textId="77777777" w:rsidTr="007A5234">
        <w:trPr>
          <w:trHeight w:val="2578"/>
        </w:trPr>
        <w:tc>
          <w:tcPr>
            <w:tcW w:w="7560" w:type="dxa"/>
            <w:vMerge w:val="restart"/>
          </w:tcPr>
          <w:p w14:paraId="6D7CC414" w14:textId="77777777" w:rsidR="007A5234" w:rsidRPr="007A5234" w:rsidRDefault="007A5234" w:rsidP="002D1365">
            <w:pPr>
              <w:pStyle w:val="Heading3"/>
              <w:spacing w:before="0" w:line="240" w:lineRule="auto"/>
              <w:rPr>
                <w:sz w:val="26"/>
                <w:szCs w:val="26"/>
                <w:lang w:val="fr-CA"/>
              </w:rPr>
            </w:pPr>
            <w:r w:rsidRPr="007A5234">
              <w:rPr>
                <w:sz w:val="26"/>
                <w:szCs w:val="26"/>
                <w:lang w:val="fr-CA"/>
              </w:rPr>
              <w:t>Pendant l’audience</w:t>
            </w:r>
          </w:p>
          <w:p w14:paraId="2CD52A37" w14:textId="77777777" w:rsidR="007A5234" w:rsidRPr="007A5234" w:rsidRDefault="007A5234" w:rsidP="008E1912">
            <w:pPr>
              <w:spacing w:before="60" w:after="60"/>
              <w:rPr>
                <w:b/>
                <w:bCs/>
                <w:szCs w:val="24"/>
                <w:lang w:val="fr-CA"/>
              </w:rPr>
            </w:pPr>
            <w:r w:rsidRPr="007A5234">
              <w:rPr>
                <w:b/>
                <w:bCs/>
                <w:i/>
                <w:iCs/>
                <w:szCs w:val="24"/>
                <w:lang w:val="fr-CA"/>
              </w:rPr>
              <w:t xml:space="preserve">Le respect de l’étiquette et du protocole en vigueur dans un tribunal physique est attendu en mode virtuel. </w:t>
            </w:r>
          </w:p>
          <w:p w14:paraId="08C15255" w14:textId="77777777" w:rsidR="007A5234" w:rsidRPr="007A5234" w:rsidRDefault="007A5234" w:rsidP="008E1912">
            <w:pPr>
              <w:spacing w:before="60" w:after="60"/>
              <w:rPr>
                <w:sz w:val="23"/>
                <w:szCs w:val="23"/>
                <w:lang w:val="fr-CA"/>
              </w:rPr>
            </w:pPr>
            <w:r w:rsidRPr="007A5234">
              <w:rPr>
                <w:sz w:val="23"/>
                <w:szCs w:val="23"/>
                <w:lang w:val="fr-CA"/>
              </w:rPr>
              <w:t>Il est interdit de manger, de fumer, de vapoter ou de boire (sauf de l’eau), à moins que ne le permette une mesure d’adaptation à un handicap ou à un problème médical.</w:t>
            </w:r>
          </w:p>
          <w:p w14:paraId="7B802BE4" w14:textId="77777777" w:rsidR="007A5234" w:rsidRPr="007A5234" w:rsidRDefault="007A5234" w:rsidP="008E1912">
            <w:pPr>
              <w:spacing w:before="60" w:after="60"/>
              <w:rPr>
                <w:sz w:val="23"/>
                <w:szCs w:val="23"/>
                <w:lang w:val="fr-CA"/>
              </w:rPr>
            </w:pPr>
            <w:r w:rsidRPr="007A5234">
              <w:rPr>
                <w:sz w:val="23"/>
                <w:szCs w:val="23"/>
                <w:lang w:val="fr-CA"/>
              </w:rPr>
              <w:t>Habillez-vous de façon convenable. Une tenue professionnelle ou une toge est de mise pour les avocats, conformément aux instructions relatives à la pratique qui s’appliquent.</w:t>
            </w:r>
          </w:p>
          <w:p w14:paraId="7F20BFB0" w14:textId="77777777" w:rsidR="007A5234" w:rsidRPr="007A5234" w:rsidRDefault="007A5234" w:rsidP="008E1912">
            <w:pPr>
              <w:spacing w:before="60" w:after="60"/>
              <w:rPr>
                <w:sz w:val="23"/>
                <w:szCs w:val="23"/>
                <w:lang w:val="fr-CA"/>
              </w:rPr>
            </w:pPr>
            <w:r w:rsidRPr="007A5234">
              <w:rPr>
                <w:sz w:val="23"/>
                <w:szCs w:val="23"/>
                <w:lang w:val="fr-CA"/>
              </w:rPr>
              <w:t xml:space="preserve">Prononcez et épelez votre nom et votre prénom pour le procès-verbal lorsque l’on vous invitera à le faire. Si vous représentez une partie, informez-en le tribunal. </w:t>
            </w:r>
          </w:p>
          <w:p w14:paraId="78B45811" w14:textId="48C6FF56" w:rsidR="007A5234" w:rsidRPr="007A5234" w:rsidRDefault="007A5234" w:rsidP="002D0709">
            <w:pPr>
              <w:spacing w:before="60" w:after="60"/>
              <w:rPr>
                <w:spacing w:val="-4"/>
                <w:sz w:val="23"/>
                <w:szCs w:val="23"/>
                <w:lang w:val="fr-CA"/>
              </w:rPr>
            </w:pPr>
            <w:r w:rsidRPr="007A5234">
              <w:rPr>
                <w:spacing w:val="-4"/>
                <w:sz w:val="23"/>
                <w:szCs w:val="23"/>
                <w:lang w:val="fr-CA"/>
              </w:rPr>
              <w:t>N’interrompez pas la procédure si vous êtes en retard pour votre audience. Attendez qu’il y ait une pause et annoncez alors votre présence.</w:t>
            </w:r>
          </w:p>
        </w:tc>
        <w:tc>
          <w:tcPr>
            <w:tcW w:w="7340" w:type="dxa"/>
          </w:tcPr>
          <w:p w14:paraId="6D00A709" w14:textId="77777777" w:rsidR="007A5234" w:rsidRPr="007A5234" w:rsidRDefault="007A5234" w:rsidP="002D1365">
            <w:pPr>
              <w:spacing w:after="120"/>
              <w:jc w:val="center"/>
              <w:rPr>
                <w:rFonts w:asciiTheme="majorHAnsi" w:hAnsiTheme="majorHAnsi" w:cstheme="majorHAnsi"/>
                <w:b/>
                <w:bCs/>
                <w:color w:val="FF0000"/>
                <w:kern w:val="24"/>
                <w:sz w:val="28"/>
                <w:szCs w:val="28"/>
                <w:lang w:val="fr-CA"/>
              </w:rPr>
            </w:pPr>
            <w:r w:rsidRPr="007A5234">
              <w:rPr>
                <w:rFonts w:asciiTheme="majorHAnsi" w:hAnsiTheme="majorHAnsi" w:cstheme="majorHAnsi"/>
                <w:b/>
                <w:bCs/>
                <w:color w:val="FF0000"/>
                <w:kern w:val="24"/>
                <w:sz w:val="28"/>
                <w:szCs w:val="28"/>
                <w:lang w:val="fr-CA"/>
              </w:rPr>
              <w:t>Mise en garde</w:t>
            </w:r>
          </w:p>
          <w:p w14:paraId="39A36D3A" w14:textId="271AC670" w:rsidR="007A5234" w:rsidRPr="007A5234" w:rsidRDefault="007A5234" w:rsidP="002D1365">
            <w:pPr>
              <w:spacing w:after="120"/>
              <w:jc w:val="center"/>
              <w:rPr>
                <w:rFonts w:asciiTheme="majorHAnsi" w:eastAsia="Arial" w:hAnsiTheme="majorHAnsi" w:cstheme="majorHAnsi"/>
                <w:b/>
                <w:bCs/>
                <w:color w:val="000000" w:themeColor="text1"/>
                <w:kern w:val="24"/>
                <w:sz w:val="23"/>
                <w:szCs w:val="23"/>
                <w:lang w:val="fr-CA"/>
              </w:rPr>
            </w:pPr>
            <w:r w:rsidRPr="007A5234">
              <w:rPr>
                <w:rFonts w:asciiTheme="majorHAnsi" w:eastAsia="Arial" w:hAnsiTheme="majorHAnsi" w:cstheme="majorHAnsi"/>
                <w:b/>
                <w:bCs/>
                <w:color w:val="000000" w:themeColor="text1"/>
                <w:kern w:val="24"/>
                <w:sz w:val="23"/>
                <w:szCs w:val="23"/>
                <w:lang w:val="fr-CA"/>
              </w:rPr>
              <w:t xml:space="preserve">Il est interdit d’enregistrer l’instance ou de prendre des photographies ou captures d’écran de l’instance. Il est interdit par l’art. 136 de la </w:t>
            </w:r>
            <w:r w:rsidRPr="007A5234">
              <w:rPr>
                <w:rFonts w:asciiTheme="majorHAnsi" w:eastAsia="Arial" w:hAnsiTheme="majorHAnsi" w:cstheme="majorHAnsi"/>
                <w:b/>
                <w:bCs/>
                <w:i/>
                <w:iCs/>
                <w:color w:val="000000" w:themeColor="text1"/>
                <w:spacing w:val="10"/>
                <w:kern w:val="24"/>
                <w:sz w:val="23"/>
                <w:szCs w:val="23"/>
                <w:lang w:val="fr-CA"/>
              </w:rPr>
              <w:t xml:space="preserve">Loi sur les tribunaux judiciaires </w:t>
            </w:r>
            <w:r w:rsidRPr="007A5234">
              <w:rPr>
                <w:rFonts w:asciiTheme="majorHAnsi" w:eastAsia="Arial" w:hAnsiTheme="majorHAnsi" w:cstheme="majorHAnsi"/>
                <w:b/>
                <w:bCs/>
                <w:color w:val="000000" w:themeColor="text1"/>
                <w:kern w:val="24"/>
                <w:sz w:val="23"/>
                <w:szCs w:val="23"/>
                <w:lang w:val="fr-CA"/>
              </w:rPr>
              <w:t>d’enregistrer tout ou partie d’une audience, y compris par une capture d’écran et des photographies, ou de publier, diffuser, reproduire ou distribuer autrement ces enregistrements, notamment sur les médias sociaux et d’autres sites Internet, sans l’autorisation expresse du tribunal. Le non-respect de cette disposition pourrait constituer un outrage au tribunal.</w:t>
            </w:r>
          </w:p>
        </w:tc>
      </w:tr>
      <w:tr w:rsidR="007A5234" w:rsidRPr="007A5234" w14:paraId="3D09020B" w14:textId="77777777" w:rsidTr="007A5234">
        <w:tc>
          <w:tcPr>
            <w:tcW w:w="7560" w:type="dxa"/>
            <w:vMerge/>
          </w:tcPr>
          <w:p w14:paraId="5965A5F7" w14:textId="77777777" w:rsidR="007A5234" w:rsidRPr="007A5234" w:rsidRDefault="007A5234" w:rsidP="002D1365">
            <w:pPr>
              <w:pStyle w:val="Heading3"/>
              <w:spacing w:before="0" w:line="240" w:lineRule="auto"/>
              <w:outlineLvl w:val="2"/>
              <w:rPr>
                <w:sz w:val="26"/>
                <w:szCs w:val="26"/>
                <w:lang w:val="fr-CA"/>
              </w:rPr>
            </w:pPr>
          </w:p>
        </w:tc>
        <w:tc>
          <w:tcPr>
            <w:tcW w:w="7340" w:type="dxa"/>
            <w:vAlign w:val="bottom"/>
          </w:tcPr>
          <w:p w14:paraId="2B9CE4FA" w14:textId="6D60B687" w:rsidR="007A5234" w:rsidRPr="007A5234" w:rsidRDefault="007A5234" w:rsidP="007A5234">
            <w:pPr>
              <w:jc w:val="right"/>
              <w:rPr>
                <w:b/>
                <w:bCs/>
                <w:lang w:val="fr-CA"/>
              </w:rPr>
            </w:pPr>
            <w:r w:rsidRPr="00972DFB">
              <w:rPr>
                <w:b/>
                <w:bCs/>
                <w:sz w:val="20"/>
                <w:szCs w:val="18"/>
              </w:rPr>
              <w:t>This guide is available in English</w:t>
            </w:r>
            <w:r w:rsidRPr="007A5234">
              <w:rPr>
                <w:b/>
                <w:bCs/>
                <w:sz w:val="20"/>
                <w:szCs w:val="18"/>
                <w:lang w:val="fr-CA"/>
              </w:rPr>
              <w:t>.</w:t>
            </w:r>
          </w:p>
        </w:tc>
      </w:tr>
    </w:tbl>
    <w:p w14:paraId="13993A42" w14:textId="77777777" w:rsidR="002D0709" w:rsidRPr="007A5234" w:rsidRDefault="002D0709" w:rsidP="002D1365">
      <w:pPr>
        <w:spacing w:after="0" w:line="240" w:lineRule="auto"/>
        <w:rPr>
          <w:sz w:val="4"/>
          <w:szCs w:val="4"/>
          <w:lang w:val="fr-CA"/>
        </w:rPr>
      </w:pPr>
    </w:p>
    <w:sectPr w:rsidR="002D0709" w:rsidRPr="007A5234" w:rsidSect="002D1365">
      <w:pgSz w:w="15840" w:h="12240" w:orient="landscape"/>
      <w:pgMar w:top="284"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9457" w14:textId="77777777" w:rsidR="002D0709" w:rsidRDefault="002D0709" w:rsidP="00F72078">
      <w:pPr>
        <w:spacing w:after="0" w:line="240" w:lineRule="auto"/>
      </w:pPr>
      <w:r>
        <w:separator/>
      </w:r>
    </w:p>
  </w:endnote>
  <w:endnote w:type="continuationSeparator" w:id="0">
    <w:p w14:paraId="79C7AFF9" w14:textId="77777777" w:rsidR="002D0709" w:rsidRDefault="002D0709"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33719" w14:textId="77777777" w:rsidR="002D0709" w:rsidRDefault="002D0709" w:rsidP="00F72078">
      <w:pPr>
        <w:spacing w:after="0" w:line="240" w:lineRule="auto"/>
      </w:pPr>
      <w:r>
        <w:separator/>
      </w:r>
    </w:p>
  </w:footnote>
  <w:footnote w:type="continuationSeparator" w:id="0">
    <w:p w14:paraId="5E89B485" w14:textId="77777777" w:rsidR="002D0709" w:rsidRDefault="002D0709" w:rsidP="00F72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09"/>
    <w:rsid w:val="000A0119"/>
    <w:rsid w:val="001C37B4"/>
    <w:rsid w:val="001F129E"/>
    <w:rsid w:val="00225BE4"/>
    <w:rsid w:val="002D0709"/>
    <w:rsid w:val="002D1365"/>
    <w:rsid w:val="002E6FF6"/>
    <w:rsid w:val="00317F1F"/>
    <w:rsid w:val="0036413B"/>
    <w:rsid w:val="00392E73"/>
    <w:rsid w:val="00404C1A"/>
    <w:rsid w:val="00487378"/>
    <w:rsid w:val="004A2238"/>
    <w:rsid w:val="004A392D"/>
    <w:rsid w:val="004B347D"/>
    <w:rsid w:val="004B427A"/>
    <w:rsid w:val="004B69F7"/>
    <w:rsid w:val="004C781E"/>
    <w:rsid w:val="004F1B03"/>
    <w:rsid w:val="004F20C3"/>
    <w:rsid w:val="0057735C"/>
    <w:rsid w:val="005C22C8"/>
    <w:rsid w:val="00624B02"/>
    <w:rsid w:val="00695E04"/>
    <w:rsid w:val="006C7751"/>
    <w:rsid w:val="006D72AA"/>
    <w:rsid w:val="00712EC9"/>
    <w:rsid w:val="00767151"/>
    <w:rsid w:val="007707B1"/>
    <w:rsid w:val="00794C32"/>
    <w:rsid w:val="007A5234"/>
    <w:rsid w:val="007D6DDD"/>
    <w:rsid w:val="008E1912"/>
    <w:rsid w:val="00972DFB"/>
    <w:rsid w:val="009B1D63"/>
    <w:rsid w:val="009B65DE"/>
    <w:rsid w:val="00A4736E"/>
    <w:rsid w:val="00A963FC"/>
    <w:rsid w:val="00AD71CE"/>
    <w:rsid w:val="00B930D4"/>
    <w:rsid w:val="00B93223"/>
    <w:rsid w:val="00C029AC"/>
    <w:rsid w:val="00C442F5"/>
    <w:rsid w:val="00C733B1"/>
    <w:rsid w:val="00C93AB7"/>
    <w:rsid w:val="00CC034D"/>
    <w:rsid w:val="00D83F89"/>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22833"/>
  <w15:chartTrackingRefBased/>
  <w15:docId w15:val="{38A829E7-7079-4130-B8F2-878F5A13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unhideWhenUsed/>
    <w:rsid w:val="002D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22C8"/>
    <w:pPr>
      <w:spacing w:before="100" w:beforeAutospacing="1" w:after="100" w:afterAutospacing="1" w:line="240" w:lineRule="auto"/>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6504">
      <w:bodyDiv w:val="1"/>
      <w:marLeft w:val="0"/>
      <w:marRight w:val="0"/>
      <w:marTop w:val="0"/>
      <w:marBottom w:val="0"/>
      <w:divBdr>
        <w:top w:val="none" w:sz="0" w:space="0" w:color="auto"/>
        <w:left w:val="none" w:sz="0" w:space="0" w:color="auto"/>
        <w:bottom w:val="none" w:sz="0" w:space="0" w:color="auto"/>
        <w:right w:val="none" w:sz="0" w:space="0" w:color="auto"/>
      </w:divBdr>
    </w:div>
    <w:div w:id="209415066">
      <w:bodyDiv w:val="1"/>
      <w:marLeft w:val="0"/>
      <w:marRight w:val="0"/>
      <w:marTop w:val="0"/>
      <w:marBottom w:val="0"/>
      <w:divBdr>
        <w:top w:val="none" w:sz="0" w:space="0" w:color="auto"/>
        <w:left w:val="none" w:sz="0" w:space="0" w:color="auto"/>
        <w:bottom w:val="none" w:sz="0" w:space="0" w:color="auto"/>
        <w:right w:val="none" w:sz="0" w:space="0" w:color="auto"/>
      </w:divBdr>
    </w:div>
    <w:div w:id="326632338">
      <w:bodyDiv w:val="1"/>
      <w:marLeft w:val="0"/>
      <w:marRight w:val="0"/>
      <w:marTop w:val="0"/>
      <w:marBottom w:val="0"/>
      <w:divBdr>
        <w:top w:val="none" w:sz="0" w:space="0" w:color="auto"/>
        <w:left w:val="none" w:sz="0" w:space="0" w:color="auto"/>
        <w:bottom w:val="none" w:sz="0" w:space="0" w:color="auto"/>
        <w:right w:val="none" w:sz="0" w:space="0" w:color="auto"/>
      </w:divBdr>
    </w:div>
    <w:div w:id="386077828">
      <w:bodyDiv w:val="1"/>
      <w:marLeft w:val="0"/>
      <w:marRight w:val="0"/>
      <w:marTop w:val="0"/>
      <w:marBottom w:val="0"/>
      <w:divBdr>
        <w:top w:val="none" w:sz="0" w:space="0" w:color="auto"/>
        <w:left w:val="none" w:sz="0" w:space="0" w:color="auto"/>
        <w:bottom w:val="none" w:sz="0" w:space="0" w:color="auto"/>
        <w:right w:val="none" w:sz="0" w:space="0" w:color="auto"/>
      </w:divBdr>
    </w:div>
    <w:div w:id="442266414">
      <w:bodyDiv w:val="1"/>
      <w:marLeft w:val="0"/>
      <w:marRight w:val="0"/>
      <w:marTop w:val="0"/>
      <w:marBottom w:val="0"/>
      <w:divBdr>
        <w:top w:val="none" w:sz="0" w:space="0" w:color="auto"/>
        <w:left w:val="none" w:sz="0" w:space="0" w:color="auto"/>
        <w:bottom w:val="none" w:sz="0" w:space="0" w:color="auto"/>
        <w:right w:val="none" w:sz="0" w:space="0" w:color="auto"/>
      </w:divBdr>
    </w:div>
    <w:div w:id="494885235">
      <w:bodyDiv w:val="1"/>
      <w:marLeft w:val="0"/>
      <w:marRight w:val="0"/>
      <w:marTop w:val="0"/>
      <w:marBottom w:val="0"/>
      <w:divBdr>
        <w:top w:val="none" w:sz="0" w:space="0" w:color="auto"/>
        <w:left w:val="none" w:sz="0" w:space="0" w:color="auto"/>
        <w:bottom w:val="none" w:sz="0" w:space="0" w:color="auto"/>
        <w:right w:val="none" w:sz="0" w:space="0" w:color="auto"/>
      </w:divBdr>
    </w:div>
    <w:div w:id="1032614066">
      <w:bodyDiv w:val="1"/>
      <w:marLeft w:val="0"/>
      <w:marRight w:val="0"/>
      <w:marTop w:val="0"/>
      <w:marBottom w:val="0"/>
      <w:divBdr>
        <w:top w:val="none" w:sz="0" w:space="0" w:color="auto"/>
        <w:left w:val="none" w:sz="0" w:space="0" w:color="auto"/>
        <w:bottom w:val="none" w:sz="0" w:space="0" w:color="auto"/>
        <w:right w:val="none" w:sz="0" w:space="0" w:color="auto"/>
      </w:divBdr>
    </w:div>
    <w:div w:id="1186863691">
      <w:bodyDiv w:val="1"/>
      <w:marLeft w:val="0"/>
      <w:marRight w:val="0"/>
      <w:marTop w:val="0"/>
      <w:marBottom w:val="0"/>
      <w:divBdr>
        <w:top w:val="none" w:sz="0" w:space="0" w:color="auto"/>
        <w:left w:val="none" w:sz="0" w:space="0" w:color="auto"/>
        <w:bottom w:val="none" w:sz="0" w:space="0" w:color="auto"/>
        <w:right w:val="none" w:sz="0" w:space="0" w:color="auto"/>
      </w:divBdr>
    </w:div>
    <w:div w:id="1298989335">
      <w:bodyDiv w:val="1"/>
      <w:marLeft w:val="0"/>
      <w:marRight w:val="0"/>
      <w:marTop w:val="0"/>
      <w:marBottom w:val="0"/>
      <w:divBdr>
        <w:top w:val="none" w:sz="0" w:space="0" w:color="auto"/>
        <w:left w:val="none" w:sz="0" w:space="0" w:color="auto"/>
        <w:bottom w:val="none" w:sz="0" w:space="0" w:color="auto"/>
        <w:right w:val="none" w:sz="0" w:space="0" w:color="auto"/>
      </w:divBdr>
    </w:div>
    <w:div w:id="1315376950">
      <w:bodyDiv w:val="1"/>
      <w:marLeft w:val="0"/>
      <w:marRight w:val="0"/>
      <w:marTop w:val="0"/>
      <w:marBottom w:val="0"/>
      <w:divBdr>
        <w:top w:val="none" w:sz="0" w:space="0" w:color="auto"/>
        <w:left w:val="none" w:sz="0" w:space="0" w:color="auto"/>
        <w:bottom w:val="none" w:sz="0" w:space="0" w:color="auto"/>
        <w:right w:val="none" w:sz="0" w:space="0" w:color="auto"/>
      </w:divBdr>
    </w:div>
    <w:div w:id="1379668613">
      <w:bodyDiv w:val="1"/>
      <w:marLeft w:val="0"/>
      <w:marRight w:val="0"/>
      <w:marTop w:val="0"/>
      <w:marBottom w:val="0"/>
      <w:divBdr>
        <w:top w:val="none" w:sz="0" w:space="0" w:color="auto"/>
        <w:left w:val="none" w:sz="0" w:space="0" w:color="auto"/>
        <w:bottom w:val="none" w:sz="0" w:space="0" w:color="auto"/>
        <w:right w:val="none" w:sz="0" w:space="0" w:color="auto"/>
      </w:divBdr>
    </w:div>
    <w:div w:id="1484393310">
      <w:bodyDiv w:val="1"/>
      <w:marLeft w:val="0"/>
      <w:marRight w:val="0"/>
      <w:marTop w:val="0"/>
      <w:marBottom w:val="0"/>
      <w:divBdr>
        <w:top w:val="none" w:sz="0" w:space="0" w:color="auto"/>
        <w:left w:val="none" w:sz="0" w:space="0" w:color="auto"/>
        <w:bottom w:val="none" w:sz="0" w:space="0" w:color="auto"/>
        <w:right w:val="none" w:sz="0" w:space="0" w:color="auto"/>
      </w:divBdr>
    </w:div>
    <w:div w:id="206316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Étiquette de la salle d’audience pour les audiences virtuelles</vt:lpstr>
    </vt:vector>
  </TitlesOfParts>
  <Company>MAG</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Étiquette de la salle d’audience pour les audiences virtuelles</dc:title>
  <dc:subject/>
  <dc:creator>Rottman, M.</dc:creator>
  <cp:keywords/>
  <dc:description/>
  <cp:lastModifiedBy>Rottman, Mike (MAG)</cp:lastModifiedBy>
  <cp:revision>6</cp:revision>
  <cp:lastPrinted>2023-08-24T16:36:00Z</cp:lastPrinted>
  <dcterms:created xsi:type="dcterms:W3CDTF">2023-08-24T14:30:00Z</dcterms:created>
  <dcterms:modified xsi:type="dcterms:W3CDTF">2023-08-24T19:45:00Z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2023-08-22T19:26:11Z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bb9a6f8e-e538-49b4-b42a-529ce5e0f35f</vt:lpwstr>
  </property>
  <property fmtid="{D5CDD505-2E9C-101B-9397-08002B2CF9AE}" pid="8" name="MSIP_Label_034a106e-6316-442c-ad35-738afd673d2b_ContentBits">
    <vt:lpwstr>0</vt:lpwstr>
  </property>
</Properties>
</file>